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11" w:rsidRPr="00C90260" w:rsidRDefault="003A6030" w:rsidP="00EE42DD">
      <w:pPr>
        <w:spacing w:after="0" w:line="276" w:lineRule="auto"/>
        <w:ind w:left="6946"/>
        <w:rPr>
          <w:rFonts w:cstheme="minorHAnsi"/>
          <w:sz w:val="20"/>
        </w:rPr>
      </w:pPr>
      <w:bookmarkStart w:id="0" w:name="_GoBack"/>
      <w:bookmarkEnd w:id="0"/>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rsidR="003A6030" w:rsidRPr="00CE1287" w:rsidRDefault="003A6030" w:rsidP="00F42D4D">
      <w:pPr>
        <w:spacing w:after="0" w:line="360" w:lineRule="auto"/>
        <w:rPr>
          <w:rFonts w:cstheme="minorHAnsi"/>
          <w:sz w:val="24"/>
          <w:szCs w:val="24"/>
        </w:rPr>
      </w:pPr>
    </w:p>
    <w:tbl>
      <w:tblPr>
        <w:tblStyle w:val="Tabela-Siatka"/>
        <w:tblW w:w="0" w:type="auto"/>
        <w:tblLook w:val="04A0"/>
      </w:tblPr>
      <w:tblGrid>
        <w:gridCol w:w="2547"/>
        <w:gridCol w:w="5528"/>
        <w:gridCol w:w="1701"/>
      </w:tblGrid>
      <w:tr w:rsidR="007B4A4C" w:rsidRPr="009B4D04" w:rsidTr="00264F64">
        <w:trPr>
          <w:trHeight w:val="398"/>
          <w:tblHeader/>
        </w:trPr>
        <w:tc>
          <w:tcPr>
            <w:tcW w:w="2547" w:type="dxa"/>
          </w:tcPr>
          <w:p w:rsidR="007B4A4C" w:rsidRPr="009B4D04" w:rsidRDefault="007B4A4C" w:rsidP="007B4A4C">
            <w:pPr>
              <w:rPr>
                <w:rFonts w:cstheme="minorHAnsi"/>
              </w:rPr>
            </w:pPr>
            <w:r w:rsidRPr="009B4D04">
              <w:rPr>
                <w:rFonts w:cstheme="minorHAnsi"/>
              </w:rPr>
              <w:t>Czynność</w:t>
            </w:r>
          </w:p>
        </w:tc>
        <w:tc>
          <w:tcPr>
            <w:tcW w:w="5528" w:type="dxa"/>
          </w:tcPr>
          <w:p w:rsidR="007B4A4C" w:rsidRPr="009B4D04" w:rsidRDefault="007B4A4C" w:rsidP="007B4A4C">
            <w:pPr>
              <w:rPr>
                <w:rFonts w:cstheme="minorHAnsi"/>
              </w:rPr>
            </w:pPr>
            <w:r w:rsidRPr="009B4D04">
              <w:rPr>
                <w:rFonts w:cstheme="minorHAnsi"/>
              </w:rPr>
              <w:t>Stopień samodzielności</w:t>
            </w:r>
          </w:p>
        </w:tc>
        <w:tc>
          <w:tcPr>
            <w:tcW w:w="1701" w:type="dxa"/>
          </w:tcPr>
          <w:p w:rsidR="007B4A4C" w:rsidRPr="009B4D04" w:rsidRDefault="007B4A4C" w:rsidP="007B4A4C">
            <w:pPr>
              <w:rPr>
                <w:rFonts w:cstheme="minorHAnsi"/>
              </w:rPr>
            </w:pPr>
            <w:r w:rsidRPr="009B4D04">
              <w:rPr>
                <w:rFonts w:cstheme="minorHAnsi"/>
              </w:rPr>
              <w:t>Wynik</w:t>
            </w: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Samoobsługa</w:t>
            </w:r>
          </w:p>
        </w:tc>
        <w:tc>
          <w:tcPr>
            <w:tcW w:w="5528" w:type="dxa"/>
          </w:tcPr>
          <w:p w:rsidR="007B4A4C" w:rsidRPr="009B4D04" w:rsidRDefault="007B4A4C" w:rsidP="007B4A4C">
            <w:pPr>
              <w:rPr>
                <w:rFonts w:cstheme="minorHAnsi"/>
              </w:rPr>
            </w:pPr>
            <w:r w:rsidRPr="009B4D04">
              <w:rPr>
                <w:rFonts w:cstheme="minorHAnsi"/>
              </w:rPr>
              <w:t>Spożywanie posiłków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Dbałość o wygląd zewnętrzny</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Kąpiel</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górnej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dolnej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Toaleta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Kontrola zwieraczy</w:t>
            </w:r>
          </w:p>
        </w:tc>
        <w:tc>
          <w:tcPr>
            <w:tcW w:w="5528" w:type="dxa"/>
          </w:tcPr>
          <w:p w:rsidR="007B4A4C" w:rsidRPr="009B4D04" w:rsidRDefault="007B4A4C" w:rsidP="007B4A4C">
            <w:pPr>
              <w:rPr>
                <w:rFonts w:cstheme="minorHAnsi"/>
              </w:rPr>
            </w:pPr>
            <w:r w:rsidRPr="009B4D04">
              <w:rPr>
                <w:rFonts w:cstheme="minorHAnsi"/>
              </w:rPr>
              <w:t>Oddawanie moczu</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Oddawanie stolca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Mobilność</w:t>
            </w:r>
          </w:p>
        </w:tc>
        <w:tc>
          <w:tcPr>
            <w:tcW w:w="5528" w:type="dxa"/>
          </w:tcPr>
          <w:p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Siadanie na muszli klozetowej</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Wchodzenie pod prysznic lub do wanny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Lokomocja</w:t>
            </w:r>
          </w:p>
        </w:tc>
        <w:tc>
          <w:tcPr>
            <w:tcW w:w="5528" w:type="dxa"/>
          </w:tcPr>
          <w:p w:rsidR="007B4A4C" w:rsidRPr="009B4D04" w:rsidRDefault="007B4A4C" w:rsidP="007B4A4C">
            <w:pPr>
              <w:rPr>
                <w:rFonts w:cstheme="minorHAnsi"/>
              </w:rPr>
            </w:pPr>
            <w:r w:rsidRPr="009B4D04">
              <w:rPr>
                <w:rFonts w:cstheme="minorHAnsi"/>
              </w:rPr>
              <w:t>Chodzenie lub jazda na wózku inwalidzkim</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Schody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Komunikacja</w:t>
            </w:r>
          </w:p>
        </w:tc>
        <w:tc>
          <w:tcPr>
            <w:tcW w:w="5528" w:type="dxa"/>
          </w:tcPr>
          <w:p w:rsidR="007B4A4C" w:rsidRPr="009B4D04" w:rsidRDefault="007B4A4C" w:rsidP="007B4A4C">
            <w:pPr>
              <w:rPr>
                <w:rFonts w:cstheme="minorHAnsi"/>
              </w:rPr>
            </w:pPr>
            <w:r w:rsidRPr="009B4D04">
              <w:rPr>
                <w:rFonts w:cstheme="minorHAnsi"/>
              </w:rPr>
              <w:t>Zrozumienie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Wypowiadanie się</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Świadomość społeczna</w:t>
            </w:r>
          </w:p>
        </w:tc>
        <w:tc>
          <w:tcPr>
            <w:tcW w:w="5528" w:type="dxa"/>
          </w:tcPr>
          <w:p w:rsidR="007B4A4C" w:rsidRPr="009B4D04" w:rsidRDefault="007B4A4C" w:rsidP="007B4A4C">
            <w:pPr>
              <w:rPr>
                <w:rFonts w:cstheme="minorHAnsi"/>
              </w:rPr>
            </w:pPr>
            <w:r w:rsidRPr="009B4D04">
              <w:rPr>
                <w:rFonts w:cstheme="minorHAnsi"/>
              </w:rPr>
              <w:t>Kontakty międzyludzkie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Rozwiązywanie problemów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Pamięć</w:t>
            </w:r>
          </w:p>
        </w:tc>
        <w:tc>
          <w:tcPr>
            <w:tcW w:w="1701" w:type="dxa"/>
          </w:tcPr>
          <w:p w:rsidR="007B4A4C" w:rsidRPr="009B4D04" w:rsidRDefault="007B4A4C" w:rsidP="007B4A4C">
            <w:pPr>
              <w:rPr>
                <w:rFonts w:cstheme="minorHAnsi"/>
              </w:rPr>
            </w:pPr>
          </w:p>
        </w:tc>
      </w:tr>
      <w:tr w:rsidR="007B4A4C" w:rsidRPr="009B4D04" w:rsidTr="00F24331">
        <w:tc>
          <w:tcPr>
            <w:tcW w:w="8075" w:type="dxa"/>
            <w:gridSpan w:val="2"/>
          </w:tcPr>
          <w:p w:rsidR="007B4A4C" w:rsidRPr="009B4D04" w:rsidRDefault="007B4A4C" w:rsidP="007B4A4C">
            <w:pPr>
              <w:rPr>
                <w:rFonts w:cstheme="minorHAnsi"/>
                <w:b/>
              </w:rPr>
            </w:pPr>
            <w:r w:rsidRPr="009B4D04">
              <w:rPr>
                <w:rFonts w:cstheme="minorHAnsi"/>
                <w:b/>
              </w:rPr>
              <w:t>SUMA</w:t>
            </w:r>
          </w:p>
        </w:tc>
        <w:tc>
          <w:tcPr>
            <w:tcW w:w="1701" w:type="dxa"/>
          </w:tcPr>
          <w:p w:rsidR="007B4A4C" w:rsidRPr="009B4D04" w:rsidRDefault="007B4A4C" w:rsidP="007B4A4C">
            <w:pPr>
              <w:rPr>
                <w:rFonts w:cstheme="minorHAnsi"/>
              </w:rPr>
            </w:pPr>
          </w:p>
        </w:tc>
      </w:tr>
    </w:tbl>
    <w:p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rsidR="00F42D4D" w:rsidRDefault="00F42D4D" w:rsidP="007B4A4C">
      <w:pPr>
        <w:rPr>
          <w:rFonts w:cstheme="minorHAnsi"/>
        </w:rPr>
      </w:pPr>
    </w:p>
    <w:p w:rsidR="003F0251" w:rsidRPr="00CE1287" w:rsidRDefault="003F0251" w:rsidP="007B4A4C">
      <w:pPr>
        <w:rPr>
          <w:rFonts w:cstheme="minorHAnsi"/>
        </w:rPr>
      </w:pPr>
    </w:p>
    <w:p w:rsidR="002B01A2" w:rsidRPr="00CE1287" w:rsidRDefault="002B01A2" w:rsidP="002B01A2">
      <w:pPr>
        <w:spacing w:after="0"/>
        <w:ind w:left="4536"/>
        <w:jc w:val="both"/>
        <w:rPr>
          <w:rFonts w:cstheme="minorHAnsi"/>
        </w:rPr>
      </w:pPr>
      <w:r w:rsidRPr="00CE1287">
        <w:rPr>
          <w:rFonts w:cstheme="minorHAnsi"/>
        </w:rPr>
        <w:t>………………………………………………….</w:t>
      </w:r>
      <w:r w:rsidR="003F0251">
        <w:rPr>
          <w:rFonts w:cstheme="minorHAnsi"/>
        </w:rPr>
        <w:t>.................................................</w:t>
      </w:r>
    </w:p>
    <w:p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w:t>
      </w:r>
      <w:proofErr w:type="spellStart"/>
      <w:r w:rsidRPr="00CE1287">
        <w:rPr>
          <w:rFonts w:cstheme="minorHAnsi"/>
          <w:sz w:val="20"/>
          <w:szCs w:val="20"/>
        </w:rPr>
        <w:t>The</w:t>
      </w:r>
      <w:proofErr w:type="spellEnd"/>
      <w:r w:rsidRPr="00CE1287">
        <w:rPr>
          <w:rFonts w:cstheme="minorHAnsi"/>
          <w:sz w:val="20"/>
          <w:szCs w:val="20"/>
        </w:rPr>
        <w:t xml:space="preserv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rsidR="00CE1287" w:rsidRDefault="00CE1287" w:rsidP="00264F64">
      <w:pPr>
        <w:spacing w:line="360" w:lineRule="auto"/>
        <w:rPr>
          <w:rFonts w:cstheme="minorHAnsi"/>
          <w:b/>
        </w:rPr>
      </w:pPr>
    </w:p>
    <w:p w:rsidR="00A02BFB" w:rsidRDefault="00A02BFB" w:rsidP="00264F64">
      <w:pPr>
        <w:spacing w:line="360" w:lineRule="auto"/>
        <w:rPr>
          <w:rFonts w:cstheme="minorHAnsi"/>
          <w:b/>
        </w:rPr>
      </w:pPr>
    </w:p>
    <w:p w:rsidR="00CE1287" w:rsidRPr="00CE1287" w:rsidRDefault="00CE1287" w:rsidP="00A02BFB">
      <w:pPr>
        <w:spacing w:line="276" w:lineRule="auto"/>
        <w:rPr>
          <w:rFonts w:cstheme="minorHAnsi"/>
        </w:rPr>
      </w:pPr>
      <w:r w:rsidRPr="00CE1287">
        <w:rPr>
          <w:rFonts w:cstheme="minorHAnsi"/>
          <w:b/>
        </w:rPr>
        <w:t xml:space="preserve">Dodatkowo informacja dot. oceny potrzeby wsparcia w codziennym funkcjonowaniu z zastosowaniem Skali Pomiaru Niezależności Funkcjonalnej (FIM – </w:t>
      </w:r>
      <w:proofErr w:type="spellStart"/>
      <w:r w:rsidRPr="00CE1287">
        <w:rPr>
          <w:rFonts w:cstheme="minorHAnsi"/>
          <w:b/>
        </w:rPr>
        <w:t>The</w:t>
      </w:r>
      <w:proofErr w:type="spellEnd"/>
      <w:r w:rsidRPr="00CE1287">
        <w:rPr>
          <w:rFonts w:cstheme="minorHAnsi"/>
          <w:b/>
        </w:rPr>
        <w:t xml:space="preserv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rsidR="00CE1287" w:rsidRPr="00CE1287" w:rsidRDefault="00CE1287" w:rsidP="00A02BFB">
      <w:pPr>
        <w:spacing w:line="276" w:lineRule="auto"/>
        <w:rPr>
          <w:rFonts w:cstheme="minorHAnsi"/>
          <w:u w:val="single"/>
        </w:rPr>
      </w:pPr>
      <w:r w:rsidRPr="00CE1287">
        <w:rPr>
          <w:rFonts w:cstheme="minorHAnsi"/>
          <w:u w:val="single"/>
        </w:rPr>
        <w:t xml:space="preserve">Cel: </w:t>
      </w:r>
    </w:p>
    <w:p w:rsidR="00CE1287" w:rsidRPr="00CE1287" w:rsidRDefault="00CE1287" w:rsidP="00A02BFB">
      <w:pPr>
        <w:spacing w:line="276"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rsidR="00CE1287" w:rsidRPr="00CE1287" w:rsidRDefault="00CE1287" w:rsidP="00A02BFB">
      <w:pPr>
        <w:spacing w:line="276"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rsidR="00CE1287" w:rsidRPr="00CE1287" w:rsidRDefault="00CE1287" w:rsidP="00A02BFB">
      <w:pPr>
        <w:spacing w:line="276"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rsidR="00CE1287" w:rsidRPr="00CE1287" w:rsidRDefault="00CE1287" w:rsidP="00A02BFB">
      <w:pPr>
        <w:spacing w:line="276"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rsidR="00CE1287" w:rsidRPr="00CE1287" w:rsidRDefault="00CE1287" w:rsidP="00A02BFB">
      <w:pPr>
        <w:spacing w:line="276"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rsidR="00CE1287" w:rsidRPr="00CE1287" w:rsidRDefault="00CE1287" w:rsidP="00A02BFB">
      <w:pPr>
        <w:spacing w:line="276" w:lineRule="auto"/>
        <w:rPr>
          <w:rFonts w:cstheme="minorHAnsi"/>
          <w:u w:val="single"/>
        </w:rPr>
      </w:pPr>
      <w:r w:rsidRPr="00CE1287">
        <w:rPr>
          <w:rFonts w:cstheme="minorHAnsi"/>
          <w:u w:val="single"/>
        </w:rPr>
        <w:t>Przykład:</w:t>
      </w:r>
    </w:p>
    <w:p w:rsidR="00CE1287" w:rsidRPr="00CE1287" w:rsidRDefault="00CE1287" w:rsidP="00A02BFB">
      <w:pPr>
        <w:spacing w:line="276"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rsidR="00CE1287" w:rsidRPr="00CE1287" w:rsidRDefault="00CE1287" w:rsidP="00A02BFB">
      <w:pPr>
        <w:spacing w:line="276" w:lineRule="auto"/>
        <w:rPr>
          <w:rFonts w:cstheme="minorHAnsi"/>
        </w:rPr>
      </w:pPr>
      <w:r w:rsidRPr="00CE1287">
        <w:rPr>
          <w:rFonts w:cstheme="minorHAnsi"/>
        </w:rPr>
        <w:t>Ograniczenia dotyczące podejmowania czynności związanych z wypróżnianiem się i oddawaniem moczu podlegają ocenie w ramach dziedziny „Toaleta”.</w:t>
      </w:r>
    </w:p>
    <w:p w:rsidR="00CE1287" w:rsidRPr="00CE1287" w:rsidRDefault="00CE1287" w:rsidP="00A02BFB">
      <w:pPr>
        <w:spacing w:line="276" w:lineRule="auto"/>
        <w:rPr>
          <w:rFonts w:cstheme="minorHAnsi"/>
        </w:rPr>
      </w:pPr>
      <w:r w:rsidRPr="00CE1287">
        <w:rPr>
          <w:rFonts w:cstheme="minorHAnsi"/>
        </w:rPr>
        <w:lastRenderedPageBreak/>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rsidR="00CE1287" w:rsidRDefault="00CE1287" w:rsidP="00A02BFB">
      <w:pPr>
        <w:spacing w:line="276"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rsidR="00CE1287" w:rsidRPr="00CE1287" w:rsidRDefault="00CE1287" w:rsidP="00A02BFB">
      <w:pPr>
        <w:spacing w:line="276" w:lineRule="auto"/>
        <w:rPr>
          <w:rFonts w:cstheme="minorHAnsi"/>
        </w:rPr>
      </w:pPr>
    </w:p>
    <w:p w:rsidR="00CE1287" w:rsidRPr="00CE1287" w:rsidRDefault="00CE1287" w:rsidP="00A02BFB">
      <w:pPr>
        <w:spacing w:line="276" w:lineRule="auto"/>
        <w:rPr>
          <w:rFonts w:cstheme="minorHAnsi"/>
          <w:u w:val="single"/>
        </w:rPr>
      </w:pPr>
      <w:r w:rsidRPr="00CE1287">
        <w:rPr>
          <w:rFonts w:cstheme="minorHAnsi"/>
          <w:u w:val="single"/>
        </w:rPr>
        <w:t>Oceniane obszary aktywności  - opis z zastosowaniem kategorii ICF:</w:t>
      </w:r>
    </w:p>
    <w:p w:rsidR="00CE1287" w:rsidRPr="00CE1287" w:rsidRDefault="00CE1287" w:rsidP="00A02BFB">
      <w:pPr>
        <w:spacing w:line="276" w:lineRule="auto"/>
        <w:rPr>
          <w:rFonts w:cstheme="minorHAnsi"/>
        </w:rPr>
      </w:pPr>
      <w:r w:rsidRPr="00CE1287">
        <w:rPr>
          <w:rFonts w:cstheme="minorHAnsi"/>
        </w:rPr>
        <w:t xml:space="preserve">Dbanie o siebie: </w:t>
      </w:r>
    </w:p>
    <w:p w:rsidR="00CE1287" w:rsidRPr="00CE1287" w:rsidRDefault="00CE1287" w:rsidP="00A02BFB">
      <w:pPr>
        <w:spacing w:line="276" w:lineRule="auto"/>
        <w:rPr>
          <w:rFonts w:cstheme="minorHAnsi"/>
        </w:rPr>
      </w:pPr>
      <w:r w:rsidRPr="00CE1287">
        <w:rPr>
          <w:rFonts w:cstheme="minorHAnsi"/>
        </w:rPr>
        <w:t>1. „Samoobsługa”</w:t>
      </w:r>
    </w:p>
    <w:p w:rsidR="00CE1287" w:rsidRPr="00CE1287" w:rsidRDefault="00CE1287" w:rsidP="00A02BFB">
      <w:pPr>
        <w:spacing w:line="276" w:lineRule="auto"/>
        <w:rPr>
          <w:rFonts w:cstheme="minorHAnsi"/>
        </w:rPr>
      </w:pPr>
      <w:r w:rsidRPr="00CE1287">
        <w:rPr>
          <w:rFonts w:cstheme="minorHAnsi"/>
        </w:rPr>
        <w:t xml:space="preserve">2. „Kontrola zwieraczy” </w:t>
      </w:r>
    </w:p>
    <w:p w:rsidR="00CE1287" w:rsidRPr="00CE1287" w:rsidRDefault="00CE1287" w:rsidP="00A02BFB">
      <w:pPr>
        <w:pStyle w:val="Akapitzlist"/>
        <w:numPr>
          <w:ilvl w:val="0"/>
          <w:numId w:val="1"/>
        </w:numPr>
        <w:spacing w:line="276" w:lineRule="auto"/>
        <w:rPr>
          <w:rFonts w:cstheme="minorHAnsi"/>
        </w:rPr>
      </w:pPr>
      <w:r w:rsidRPr="00CE1287">
        <w:rPr>
          <w:rFonts w:cstheme="minorHAnsi"/>
        </w:rPr>
        <w:t>„Samoobsługa”</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„Spożywanie posiłków” - d550 Jedzenie, d560 Picie</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„Ubieranie górnej części ciała” – d5400 Zakładanie ubrania, d5401  Zdejmowanie ubrania</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„Ubieranie dolnej części ciała” – d5400 Zakładanie ubrania, d5401  Zdejmowanie ubrania, d5402 Zakładanie obuwia, d5403 Zdejmowanie obuwia</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„Kąpiel” -  d5101 Mycie całego ciała</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„Toaleta” - d530 Korzystanie z toalety (sygnalizowanie potrzeby, zajmowanie odpowiedniej pozycji, manipulowanie ubraniem przed i po, higiena po)</w:t>
      </w:r>
    </w:p>
    <w:p w:rsidR="00CE1287" w:rsidRPr="00CE1287" w:rsidRDefault="00CE1287" w:rsidP="00A02BFB">
      <w:pPr>
        <w:pStyle w:val="Akapitzlist"/>
        <w:spacing w:line="276" w:lineRule="auto"/>
        <w:rPr>
          <w:rFonts w:cstheme="minorHAnsi"/>
        </w:rPr>
      </w:pPr>
    </w:p>
    <w:p w:rsidR="00CE1287" w:rsidRPr="00CE1287" w:rsidRDefault="00CE1287" w:rsidP="00A02BFB">
      <w:pPr>
        <w:pStyle w:val="Akapitzlist"/>
        <w:numPr>
          <w:ilvl w:val="0"/>
          <w:numId w:val="1"/>
        </w:numPr>
        <w:spacing w:line="276" w:lineRule="auto"/>
        <w:rPr>
          <w:rFonts w:cstheme="minorHAnsi"/>
        </w:rPr>
      </w:pPr>
      <w:r w:rsidRPr="00CE1287">
        <w:rPr>
          <w:rFonts w:cstheme="minorHAnsi"/>
        </w:rPr>
        <w:t>„Kontrola zwieraczy”</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„Oddawanie moczu” - b6202 Zdolność utrzymania moczu:  Funkcje sprawowania kontroli nad oddawaniem moczu</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„Oddawanie stolca” -  b5253 Kontrolowanie oddawania stolca: funkcje związane z świadomym panowaniem nad czynnością wydalania</w:t>
      </w:r>
    </w:p>
    <w:p w:rsidR="00CE1287" w:rsidRPr="00CE1287" w:rsidRDefault="00CE1287" w:rsidP="00A02BFB">
      <w:pPr>
        <w:pStyle w:val="Akapitzlist"/>
        <w:spacing w:line="276" w:lineRule="auto"/>
        <w:rPr>
          <w:rFonts w:cstheme="minorHAnsi"/>
        </w:rPr>
      </w:pPr>
    </w:p>
    <w:p w:rsidR="00CE1287" w:rsidRPr="00CE1287" w:rsidRDefault="00CE1287" w:rsidP="00A02BFB">
      <w:pPr>
        <w:spacing w:line="276" w:lineRule="auto"/>
        <w:rPr>
          <w:rFonts w:cstheme="minorHAnsi"/>
        </w:rPr>
      </w:pPr>
      <w:r w:rsidRPr="00CE1287">
        <w:rPr>
          <w:rFonts w:cstheme="minorHAnsi"/>
        </w:rPr>
        <w:t xml:space="preserve">Poruszanie się: </w:t>
      </w:r>
    </w:p>
    <w:p w:rsidR="00CE1287" w:rsidRPr="00CE1287" w:rsidRDefault="00CE1287" w:rsidP="00A02BFB">
      <w:pPr>
        <w:spacing w:line="276" w:lineRule="auto"/>
        <w:rPr>
          <w:rFonts w:cstheme="minorHAnsi"/>
        </w:rPr>
      </w:pPr>
      <w:r w:rsidRPr="00CE1287">
        <w:rPr>
          <w:rFonts w:cstheme="minorHAnsi"/>
        </w:rPr>
        <w:t xml:space="preserve">3.„Mobilność” </w:t>
      </w:r>
    </w:p>
    <w:p w:rsidR="00CE1287" w:rsidRPr="00CE1287" w:rsidRDefault="00CE1287" w:rsidP="00A02BFB">
      <w:pPr>
        <w:spacing w:line="276" w:lineRule="auto"/>
        <w:rPr>
          <w:rFonts w:cstheme="minorHAnsi"/>
        </w:rPr>
      </w:pPr>
      <w:r w:rsidRPr="00CE1287">
        <w:rPr>
          <w:rFonts w:cstheme="minorHAnsi"/>
        </w:rPr>
        <w:t xml:space="preserve">4.„Lokomocja” </w:t>
      </w:r>
    </w:p>
    <w:p w:rsidR="00CE1287" w:rsidRPr="00CE1287" w:rsidRDefault="00CE1287" w:rsidP="00A02BFB">
      <w:pPr>
        <w:pStyle w:val="Akapitzlist"/>
        <w:numPr>
          <w:ilvl w:val="0"/>
          <w:numId w:val="1"/>
        </w:numPr>
        <w:spacing w:after="0" w:line="276" w:lineRule="auto"/>
        <w:rPr>
          <w:rFonts w:cstheme="minorHAnsi"/>
        </w:rPr>
      </w:pPr>
      <w:r w:rsidRPr="00CE1287">
        <w:rPr>
          <w:rFonts w:cstheme="minorHAnsi"/>
        </w:rPr>
        <w:t>„Mobilność”</w:t>
      </w:r>
    </w:p>
    <w:p w:rsidR="00CE1287" w:rsidRPr="00CE1287" w:rsidRDefault="00CE1287" w:rsidP="00A02BFB">
      <w:pPr>
        <w:spacing w:after="0" w:line="276" w:lineRule="auto"/>
        <w:ind w:left="360"/>
        <w:rPr>
          <w:rFonts w:cstheme="minorHAnsi"/>
        </w:rPr>
      </w:pPr>
      <w:r w:rsidRPr="00CE1287">
        <w:rPr>
          <w:rFonts w:cstheme="minorHAnsi"/>
        </w:rPr>
        <w:t xml:space="preserve">3.1 „Przechodzenie z łóżka na krzesło lub wózek inwalidzki” - d4200 Przemieszczanie się w pozycji siedzącej,  </w:t>
      </w:r>
    </w:p>
    <w:p w:rsidR="00CE1287" w:rsidRPr="00CE1287" w:rsidRDefault="00CE1287" w:rsidP="00A02BFB">
      <w:pPr>
        <w:spacing w:after="0" w:line="276"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rsidR="00CE1287" w:rsidRPr="00CE1287" w:rsidRDefault="00CE1287" w:rsidP="00A02BFB">
      <w:pPr>
        <w:spacing w:after="0" w:line="276" w:lineRule="auto"/>
        <w:ind w:left="360"/>
        <w:rPr>
          <w:rFonts w:cstheme="minorHAnsi"/>
        </w:rPr>
      </w:pPr>
      <w:r w:rsidRPr="00CE1287">
        <w:rPr>
          <w:rFonts w:cstheme="minorHAnsi"/>
        </w:rPr>
        <w:t>3.3 „Wchodzenie pod prysznic lub do wanny” - d4551 Wspinanie się (schody, krawężniki, inne przeszkody/obiekty)</w:t>
      </w:r>
    </w:p>
    <w:p w:rsidR="00CE1287" w:rsidRDefault="00CE1287" w:rsidP="00A02BFB">
      <w:pPr>
        <w:spacing w:after="0" w:line="276" w:lineRule="auto"/>
        <w:ind w:left="360"/>
        <w:rPr>
          <w:rFonts w:cstheme="minorHAnsi"/>
          <w:sz w:val="16"/>
          <w:szCs w:val="16"/>
        </w:rPr>
      </w:pPr>
    </w:p>
    <w:p w:rsidR="00A02BFB" w:rsidRDefault="00A02BFB" w:rsidP="00A02BFB">
      <w:pPr>
        <w:spacing w:after="0" w:line="276" w:lineRule="auto"/>
        <w:ind w:left="360"/>
        <w:rPr>
          <w:rFonts w:cstheme="minorHAnsi"/>
          <w:sz w:val="16"/>
          <w:szCs w:val="16"/>
        </w:rPr>
      </w:pPr>
    </w:p>
    <w:p w:rsidR="00A02BFB" w:rsidRDefault="00A02BFB" w:rsidP="00A02BFB">
      <w:pPr>
        <w:spacing w:after="0" w:line="276" w:lineRule="auto"/>
        <w:ind w:left="360"/>
        <w:rPr>
          <w:rFonts w:cstheme="minorHAnsi"/>
          <w:sz w:val="16"/>
          <w:szCs w:val="16"/>
        </w:rPr>
      </w:pPr>
    </w:p>
    <w:p w:rsidR="00A02BFB" w:rsidRPr="00A02BFB" w:rsidRDefault="00A02BFB" w:rsidP="00A02BFB">
      <w:pPr>
        <w:spacing w:after="0" w:line="276" w:lineRule="auto"/>
        <w:ind w:left="360"/>
        <w:rPr>
          <w:rFonts w:cstheme="minorHAnsi"/>
          <w:sz w:val="16"/>
          <w:szCs w:val="16"/>
        </w:rPr>
      </w:pPr>
    </w:p>
    <w:p w:rsidR="00CE1287" w:rsidRPr="00CE1287" w:rsidRDefault="00CE1287" w:rsidP="00A02BFB">
      <w:pPr>
        <w:pStyle w:val="Akapitzlist"/>
        <w:numPr>
          <w:ilvl w:val="0"/>
          <w:numId w:val="1"/>
        </w:numPr>
        <w:spacing w:after="0" w:line="276" w:lineRule="auto"/>
        <w:rPr>
          <w:rFonts w:cstheme="minorHAnsi"/>
        </w:rPr>
      </w:pPr>
      <w:r w:rsidRPr="00CE1287">
        <w:rPr>
          <w:rFonts w:cstheme="minorHAnsi"/>
        </w:rPr>
        <w:lastRenderedPageBreak/>
        <w:t>„Lokomocja”</w:t>
      </w:r>
    </w:p>
    <w:p w:rsidR="00CE1287" w:rsidRPr="00CE1287" w:rsidRDefault="00CE1287" w:rsidP="00A02BFB">
      <w:pPr>
        <w:pStyle w:val="Akapitzlist"/>
        <w:numPr>
          <w:ilvl w:val="1"/>
          <w:numId w:val="1"/>
        </w:numPr>
        <w:spacing w:line="276" w:lineRule="auto"/>
        <w:rPr>
          <w:rFonts w:cstheme="minorHAnsi"/>
        </w:rPr>
      </w:pPr>
      <w:r w:rsidRPr="00CE1287">
        <w:rPr>
          <w:rFonts w:cstheme="minorHAnsi"/>
        </w:rPr>
        <w:t xml:space="preserve"> „Chodzenie lub jazda na wózku inwalidzkim” - d450 Chodzenie, d465 Poruszanie się przy pomocy sprzętu (wózek inwalidzki)</w:t>
      </w:r>
    </w:p>
    <w:p w:rsidR="00CE1287" w:rsidRPr="00CE1287" w:rsidRDefault="00CE1287" w:rsidP="00A02BFB">
      <w:pPr>
        <w:pStyle w:val="Akapitzlist"/>
        <w:numPr>
          <w:ilvl w:val="1"/>
          <w:numId w:val="1"/>
        </w:numPr>
        <w:spacing w:after="0" w:line="276" w:lineRule="auto"/>
        <w:rPr>
          <w:rFonts w:cstheme="minorHAnsi"/>
        </w:rPr>
      </w:pPr>
      <w:r w:rsidRPr="00CE1287">
        <w:rPr>
          <w:rFonts w:cstheme="minorHAnsi"/>
        </w:rPr>
        <w:t xml:space="preserve"> „Schody” - d4551 Wspinanie się (schody, krawężniki, inne przeszkody/obiekty)</w:t>
      </w:r>
    </w:p>
    <w:p w:rsidR="00CE1287" w:rsidRPr="00CE1287" w:rsidRDefault="00CE1287" w:rsidP="00A02BFB">
      <w:pPr>
        <w:spacing w:line="276" w:lineRule="auto"/>
        <w:rPr>
          <w:rFonts w:cstheme="minorHAnsi"/>
        </w:rPr>
      </w:pPr>
    </w:p>
    <w:p w:rsidR="00CE1287" w:rsidRPr="00CE1287" w:rsidRDefault="00CE1287" w:rsidP="00A02BFB">
      <w:pPr>
        <w:spacing w:line="276" w:lineRule="auto"/>
        <w:rPr>
          <w:rFonts w:cstheme="minorHAnsi"/>
        </w:rPr>
      </w:pPr>
      <w:r w:rsidRPr="00CE1287">
        <w:rPr>
          <w:rFonts w:cstheme="minorHAnsi"/>
        </w:rPr>
        <w:t>Funkcjonowanie społeczne:</w:t>
      </w:r>
    </w:p>
    <w:p w:rsidR="00CE1287" w:rsidRPr="00CE1287" w:rsidRDefault="00CE1287" w:rsidP="00A02BFB">
      <w:pPr>
        <w:spacing w:line="276" w:lineRule="auto"/>
        <w:rPr>
          <w:rFonts w:cstheme="minorHAnsi"/>
        </w:rPr>
      </w:pPr>
      <w:r w:rsidRPr="00CE1287">
        <w:rPr>
          <w:rFonts w:cstheme="minorHAnsi"/>
        </w:rPr>
        <w:t>5.„Komunikacja”</w:t>
      </w:r>
    </w:p>
    <w:p w:rsidR="00CE1287" w:rsidRPr="00CE1287" w:rsidRDefault="00CE1287" w:rsidP="00A02BFB">
      <w:pPr>
        <w:spacing w:line="276" w:lineRule="auto"/>
        <w:rPr>
          <w:rFonts w:cstheme="minorHAnsi"/>
        </w:rPr>
      </w:pPr>
      <w:r w:rsidRPr="00CE1287">
        <w:rPr>
          <w:rFonts w:cstheme="minorHAnsi"/>
        </w:rPr>
        <w:t>6.„Świadomość społeczna”</w:t>
      </w:r>
    </w:p>
    <w:p w:rsidR="00CE1287" w:rsidRPr="00CE1287" w:rsidRDefault="00CE1287" w:rsidP="00A02BFB">
      <w:pPr>
        <w:pStyle w:val="Akapitzlist"/>
        <w:numPr>
          <w:ilvl w:val="0"/>
          <w:numId w:val="2"/>
        </w:numPr>
        <w:spacing w:line="276" w:lineRule="auto"/>
        <w:rPr>
          <w:rFonts w:cstheme="minorHAnsi"/>
        </w:rPr>
      </w:pPr>
      <w:r w:rsidRPr="00CE1287">
        <w:rPr>
          <w:rFonts w:cstheme="minorHAnsi"/>
        </w:rPr>
        <w:t>„Komunikacja”</w:t>
      </w:r>
    </w:p>
    <w:p w:rsidR="00CE1287" w:rsidRPr="00CE1287" w:rsidRDefault="00CE1287" w:rsidP="00A02BFB">
      <w:pPr>
        <w:pStyle w:val="Akapitzlist"/>
        <w:numPr>
          <w:ilvl w:val="1"/>
          <w:numId w:val="2"/>
        </w:numPr>
        <w:spacing w:line="276" w:lineRule="auto"/>
        <w:rPr>
          <w:rFonts w:cstheme="minorHAnsi"/>
        </w:rPr>
      </w:pPr>
      <w:r w:rsidRPr="00CE1287">
        <w:rPr>
          <w:rFonts w:cstheme="minorHAnsi"/>
        </w:rPr>
        <w:t xml:space="preserve"> „Zrozumienie” - d310 Porozumiewanie się – odbieranie - wiadomości ustne, d315 Porozumiewanie się – odbieranie - wiadomości niewerbalne</w:t>
      </w:r>
    </w:p>
    <w:p w:rsidR="00CE1287" w:rsidRPr="00CE1287" w:rsidRDefault="00CE1287" w:rsidP="00A02BFB">
      <w:pPr>
        <w:pStyle w:val="Akapitzlist"/>
        <w:numPr>
          <w:ilvl w:val="1"/>
          <w:numId w:val="2"/>
        </w:numPr>
        <w:spacing w:line="276" w:lineRule="auto"/>
        <w:rPr>
          <w:rFonts w:cstheme="minorHAnsi"/>
        </w:rPr>
      </w:pPr>
      <w:r w:rsidRPr="00CE1287">
        <w:rPr>
          <w:rFonts w:cstheme="minorHAnsi"/>
        </w:rPr>
        <w:t>„Wypowiadanie się” - d330 Mówienie, d335 Tworzenie wiadomości niewerbalnych, d350 Rozmowa</w:t>
      </w:r>
    </w:p>
    <w:p w:rsidR="00CE1287" w:rsidRPr="00CE1287" w:rsidRDefault="00CE1287" w:rsidP="00A02BFB">
      <w:pPr>
        <w:pStyle w:val="Akapitzlist"/>
        <w:spacing w:line="276" w:lineRule="auto"/>
        <w:rPr>
          <w:rFonts w:cstheme="minorHAnsi"/>
        </w:rPr>
      </w:pPr>
    </w:p>
    <w:p w:rsidR="00CE1287" w:rsidRPr="00CE1287" w:rsidRDefault="00CE1287" w:rsidP="00A02BFB">
      <w:pPr>
        <w:pStyle w:val="Akapitzlist"/>
        <w:numPr>
          <w:ilvl w:val="0"/>
          <w:numId w:val="2"/>
        </w:numPr>
        <w:spacing w:line="276" w:lineRule="auto"/>
        <w:rPr>
          <w:rFonts w:cstheme="minorHAnsi"/>
        </w:rPr>
      </w:pPr>
      <w:r w:rsidRPr="00CE1287">
        <w:rPr>
          <w:rFonts w:cstheme="minorHAnsi"/>
        </w:rPr>
        <w:t>„Świadomość społeczna”</w:t>
      </w:r>
    </w:p>
    <w:p w:rsidR="00CE1287" w:rsidRPr="00CE1287" w:rsidRDefault="00CE1287" w:rsidP="00A02BFB">
      <w:pPr>
        <w:pStyle w:val="Akapitzlist"/>
        <w:numPr>
          <w:ilvl w:val="1"/>
          <w:numId w:val="2"/>
        </w:numPr>
        <w:spacing w:line="276" w:lineRule="auto"/>
        <w:rPr>
          <w:rFonts w:cstheme="minorHAnsi"/>
        </w:rPr>
      </w:pPr>
      <w:r w:rsidRPr="00CE1287">
        <w:rPr>
          <w:rFonts w:cstheme="minorHAnsi"/>
        </w:rPr>
        <w:t xml:space="preserve"> „Kontakty międzyludzkie”</w:t>
      </w:r>
    </w:p>
    <w:p w:rsidR="00CE1287" w:rsidRPr="00CE1287" w:rsidRDefault="00CE1287" w:rsidP="00A02BFB">
      <w:pPr>
        <w:pStyle w:val="Akapitzlist"/>
        <w:spacing w:line="276"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rsidR="00CE1287" w:rsidRPr="00CE1287" w:rsidRDefault="00CE1287" w:rsidP="00A02BFB">
      <w:pPr>
        <w:pStyle w:val="Akapitzlist"/>
        <w:spacing w:line="276"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rsidR="00CE1287" w:rsidRPr="00CE1287" w:rsidRDefault="00CE1287" w:rsidP="00A02BFB">
      <w:pPr>
        <w:pStyle w:val="Akapitzlist"/>
        <w:numPr>
          <w:ilvl w:val="1"/>
          <w:numId w:val="2"/>
        </w:numPr>
        <w:spacing w:line="276" w:lineRule="auto"/>
        <w:rPr>
          <w:rFonts w:cstheme="minorHAnsi"/>
        </w:rPr>
      </w:pPr>
      <w:r w:rsidRPr="00CE1287">
        <w:rPr>
          <w:rFonts w:cstheme="minorHAnsi"/>
        </w:rPr>
        <w:t xml:space="preserve">„Rozwiązywanie problemów” </w:t>
      </w:r>
    </w:p>
    <w:p w:rsidR="00CE1287" w:rsidRPr="00CE1287" w:rsidRDefault="00CE1287" w:rsidP="00A02BFB">
      <w:pPr>
        <w:pStyle w:val="Akapitzlist"/>
        <w:spacing w:line="276"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rsidR="00CE1287" w:rsidRPr="00CE1287" w:rsidRDefault="00CE1287" w:rsidP="00A02BFB">
      <w:pPr>
        <w:pStyle w:val="Akapitzlist"/>
        <w:spacing w:line="276"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rsidR="00CE1287" w:rsidRPr="00CE1287" w:rsidRDefault="00CE1287" w:rsidP="00A02BFB">
      <w:pPr>
        <w:pStyle w:val="Akapitzlist"/>
        <w:spacing w:line="276"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rsidR="00CE1287" w:rsidRPr="00CE1287" w:rsidRDefault="00CE1287" w:rsidP="00A02BFB">
      <w:pPr>
        <w:pStyle w:val="Akapitzlist"/>
        <w:numPr>
          <w:ilvl w:val="1"/>
          <w:numId w:val="2"/>
        </w:numPr>
        <w:spacing w:line="276"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rsidR="00CE1287" w:rsidRPr="00CE1287" w:rsidRDefault="00CE1287" w:rsidP="00A02BFB">
      <w:pPr>
        <w:spacing w:line="276"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rsidR="00CE1287" w:rsidRPr="00A02BFB" w:rsidRDefault="00CE1287" w:rsidP="00A02BFB">
      <w:pPr>
        <w:spacing w:line="276" w:lineRule="auto"/>
        <w:rPr>
          <w:rFonts w:cstheme="minorHAnsi"/>
          <w:sz w:val="16"/>
          <w:szCs w:val="16"/>
        </w:rPr>
      </w:pPr>
    </w:p>
    <w:p w:rsidR="00A02BFB" w:rsidRDefault="00A02BFB" w:rsidP="00A02BFB">
      <w:pPr>
        <w:spacing w:line="276" w:lineRule="auto"/>
        <w:rPr>
          <w:rFonts w:cstheme="minorHAnsi"/>
          <w:u w:val="single"/>
        </w:rPr>
      </w:pPr>
    </w:p>
    <w:p w:rsidR="00A02BFB" w:rsidRDefault="00A02BFB" w:rsidP="00A02BFB">
      <w:pPr>
        <w:spacing w:line="276" w:lineRule="auto"/>
        <w:rPr>
          <w:rFonts w:cstheme="minorHAnsi"/>
          <w:u w:val="single"/>
        </w:rPr>
      </w:pPr>
    </w:p>
    <w:p w:rsidR="00CE1287" w:rsidRPr="00CE1287" w:rsidRDefault="00CE1287" w:rsidP="00A02BFB">
      <w:pPr>
        <w:spacing w:line="276" w:lineRule="auto"/>
        <w:rPr>
          <w:rFonts w:cstheme="minorHAnsi"/>
          <w:u w:val="single"/>
        </w:rPr>
      </w:pPr>
      <w:r w:rsidRPr="00CE1287">
        <w:rPr>
          <w:rFonts w:cstheme="minorHAnsi"/>
          <w:u w:val="single"/>
        </w:rPr>
        <w:lastRenderedPageBreak/>
        <w:t>Rejestrowanie wyników badania/oceny/pomiaru samodzielności</w:t>
      </w:r>
    </w:p>
    <w:p w:rsidR="00CE1287" w:rsidRPr="00CE1287" w:rsidRDefault="00CE1287" w:rsidP="00A02BFB">
      <w:pPr>
        <w:spacing w:line="276" w:lineRule="auto"/>
        <w:rPr>
          <w:rFonts w:cstheme="minorHAnsi"/>
        </w:rPr>
      </w:pPr>
      <w:r w:rsidRPr="00CE1287">
        <w:rPr>
          <w:rFonts w:cstheme="minorHAnsi"/>
        </w:rPr>
        <w:t>7 punktów – pełna niezależność (osoba wykonuje czynność bezpiecznie i szybko)</w:t>
      </w:r>
    </w:p>
    <w:p w:rsidR="00CE1287" w:rsidRPr="00CE1287" w:rsidRDefault="00CE1287" w:rsidP="00A02BFB">
      <w:pPr>
        <w:spacing w:line="276" w:lineRule="auto"/>
        <w:rPr>
          <w:rFonts w:cstheme="minorHAnsi"/>
        </w:rPr>
      </w:pPr>
      <w:r w:rsidRPr="00CE1287">
        <w:rPr>
          <w:rFonts w:cstheme="minorHAnsi"/>
        </w:rPr>
        <w:t>6 punktów – umiarkowana niezależność (wykorzystywane są urządzenia pomocnicze)</w:t>
      </w:r>
    </w:p>
    <w:p w:rsidR="00CE1287" w:rsidRPr="00CE1287" w:rsidRDefault="00CE1287" w:rsidP="00A02BFB">
      <w:pPr>
        <w:spacing w:line="276" w:lineRule="auto"/>
        <w:rPr>
          <w:rFonts w:cstheme="minorHAnsi"/>
        </w:rPr>
      </w:pPr>
      <w:r w:rsidRPr="00CE1287">
        <w:rPr>
          <w:rFonts w:cstheme="minorHAnsi"/>
        </w:rPr>
        <w:t>5 punktów – umiarkowana niezależność (konieczny jest nadzór lub asekuracja podczas wykonywania czynności)</w:t>
      </w:r>
    </w:p>
    <w:p w:rsidR="00CE1287" w:rsidRPr="00CE1287" w:rsidRDefault="00CE1287" w:rsidP="00A02BFB">
      <w:pPr>
        <w:spacing w:line="276" w:lineRule="auto"/>
        <w:rPr>
          <w:rFonts w:cstheme="minorHAnsi"/>
        </w:rPr>
      </w:pPr>
      <w:r w:rsidRPr="00CE1287">
        <w:rPr>
          <w:rFonts w:cstheme="minorHAnsi"/>
        </w:rPr>
        <w:t>4 punkty – potrzebna minimalna pomoc (osoba wykonuje samodzielnie więcej niż 75% czynności)</w:t>
      </w:r>
    </w:p>
    <w:p w:rsidR="00CE1287" w:rsidRPr="00CE1287" w:rsidRDefault="00CE1287" w:rsidP="00A02BFB">
      <w:pPr>
        <w:spacing w:line="276" w:lineRule="auto"/>
        <w:rPr>
          <w:rFonts w:cstheme="minorHAnsi"/>
        </w:rPr>
      </w:pPr>
      <w:r w:rsidRPr="00CE1287">
        <w:rPr>
          <w:rFonts w:cstheme="minorHAnsi"/>
        </w:rPr>
        <w:t>3 punkty – potrzebna umiarkowana pomoc (osoba wykonuje samodzielnie od 50 do 74% czynności)</w:t>
      </w:r>
    </w:p>
    <w:p w:rsidR="00CE1287" w:rsidRPr="00CE1287" w:rsidRDefault="00CE1287" w:rsidP="00A02BFB">
      <w:pPr>
        <w:spacing w:line="276" w:lineRule="auto"/>
        <w:rPr>
          <w:rFonts w:cstheme="minorHAnsi"/>
        </w:rPr>
      </w:pPr>
      <w:r w:rsidRPr="00CE1287">
        <w:rPr>
          <w:rFonts w:cstheme="minorHAnsi"/>
        </w:rPr>
        <w:t>2 punkty – potrzebna maksymalna pomoc (osoba wykonuje samodzielnie od 25 do 50% czynności)</w:t>
      </w:r>
    </w:p>
    <w:p w:rsidR="00CE1287" w:rsidRPr="0013783D" w:rsidRDefault="00CE1287" w:rsidP="00A02BFB">
      <w:pPr>
        <w:spacing w:line="276" w:lineRule="auto"/>
        <w:rPr>
          <w:rFonts w:cstheme="minorHAnsi"/>
        </w:rPr>
      </w:pPr>
      <w:r w:rsidRPr="00CE1287">
        <w:rPr>
          <w:rFonts w:cstheme="minorHAnsi"/>
        </w:rPr>
        <w:t>1 punkt – całkowita zależność (osoba wykonuje samodzielnie mniej niż 25 % czynności)</w:t>
      </w:r>
    </w:p>
    <w:p w:rsidR="00CE1287" w:rsidRPr="00CE1287" w:rsidRDefault="00CE1287" w:rsidP="00A02BFB">
      <w:pPr>
        <w:spacing w:line="276" w:lineRule="auto"/>
        <w:rPr>
          <w:rFonts w:cstheme="minorHAnsi"/>
          <w:u w:val="single"/>
        </w:rPr>
      </w:pPr>
      <w:r w:rsidRPr="00CE1287">
        <w:rPr>
          <w:rFonts w:cstheme="minorHAnsi"/>
          <w:u w:val="single"/>
        </w:rPr>
        <w:t>Wyniki oceny dla każdego z obszarów aktywności:</w:t>
      </w:r>
    </w:p>
    <w:p w:rsidR="00CE1287" w:rsidRPr="00CE1287" w:rsidRDefault="00CE1287" w:rsidP="00A02BFB">
      <w:pPr>
        <w:spacing w:line="276" w:lineRule="auto"/>
        <w:rPr>
          <w:rFonts w:cstheme="minorHAnsi"/>
        </w:rPr>
      </w:pPr>
      <w:r w:rsidRPr="00CE1287">
        <w:rPr>
          <w:rFonts w:cstheme="minorHAnsi"/>
        </w:rPr>
        <w:t>Samoobsługa – 6 czynności, punktacja od 6 pkt do 42 pkt.</w:t>
      </w:r>
    </w:p>
    <w:p w:rsidR="00CE1287" w:rsidRPr="00CE1287" w:rsidRDefault="00CE1287" w:rsidP="00A02BFB">
      <w:pPr>
        <w:spacing w:line="276" w:lineRule="auto"/>
        <w:rPr>
          <w:rFonts w:cstheme="minorHAnsi"/>
        </w:rPr>
      </w:pPr>
      <w:r w:rsidRPr="00CE1287">
        <w:rPr>
          <w:rFonts w:cstheme="minorHAnsi"/>
        </w:rPr>
        <w:t>Kontrola zwieraczy – 2 czynności/funkcje, punktacja od 2 pkt do 14 pkt.</w:t>
      </w:r>
    </w:p>
    <w:p w:rsidR="00CE1287" w:rsidRPr="00CE1287" w:rsidRDefault="00CE1287" w:rsidP="00A02BFB">
      <w:pPr>
        <w:spacing w:line="276" w:lineRule="auto"/>
        <w:rPr>
          <w:rFonts w:cstheme="minorHAnsi"/>
        </w:rPr>
      </w:pPr>
      <w:r w:rsidRPr="00CE1287">
        <w:rPr>
          <w:rFonts w:cstheme="minorHAnsi"/>
        </w:rPr>
        <w:t>Mobilność – 3 czynności, punktacja od 3 pkt do 21 pkt.</w:t>
      </w:r>
    </w:p>
    <w:p w:rsidR="00CE1287" w:rsidRPr="00CE1287" w:rsidRDefault="00CE1287" w:rsidP="00A02BFB">
      <w:pPr>
        <w:spacing w:line="276" w:lineRule="auto"/>
        <w:rPr>
          <w:rFonts w:cstheme="minorHAnsi"/>
        </w:rPr>
      </w:pPr>
      <w:r w:rsidRPr="00CE1287">
        <w:rPr>
          <w:rFonts w:cstheme="minorHAnsi"/>
        </w:rPr>
        <w:t>Lokomocja – 2 czynności, punktacja od 2 pkt do 14 pkt.</w:t>
      </w:r>
    </w:p>
    <w:p w:rsidR="00CE1287" w:rsidRPr="00CE1287" w:rsidRDefault="00CE1287" w:rsidP="00A02BFB">
      <w:pPr>
        <w:spacing w:line="276" w:lineRule="auto"/>
        <w:rPr>
          <w:rFonts w:cstheme="minorHAnsi"/>
        </w:rPr>
      </w:pPr>
      <w:r w:rsidRPr="00CE1287">
        <w:rPr>
          <w:rFonts w:cstheme="minorHAnsi"/>
        </w:rPr>
        <w:t>Komunikacja - 2 czynności, punktacja od 2 pkt do 14 pkt.</w:t>
      </w:r>
    </w:p>
    <w:p w:rsidR="0013783D" w:rsidRPr="0013783D" w:rsidRDefault="00CE1287" w:rsidP="00A02BFB">
      <w:pPr>
        <w:spacing w:line="276" w:lineRule="auto"/>
        <w:rPr>
          <w:rFonts w:cstheme="minorHAnsi"/>
        </w:rPr>
      </w:pPr>
      <w:r w:rsidRPr="00CE1287">
        <w:rPr>
          <w:rFonts w:cstheme="minorHAnsi"/>
        </w:rPr>
        <w:t xml:space="preserve">Świadomość społeczna - 3 czynności/funkcje, punktacja od 3 </w:t>
      </w:r>
      <w:proofErr w:type="spellStart"/>
      <w:r w:rsidRPr="00CE1287">
        <w:rPr>
          <w:rFonts w:cstheme="minorHAnsi"/>
        </w:rPr>
        <w:t>pkt</w:t>
      </w:r>
      <w:proofErr w:type="spellEnd"/>
      <w:r w:rsidRPr="00CE1287">
        <w:rPr>
          <w:rFonts w:cstheme="minorHAnsi"/>
        </w:rPr>
        <w:t xml:space="preserve"> do 21 pkt.</w:t>
      </w:r>
    </w:p>
    <w:p w:rsidR="00CE1287" w:rsidRPr="00CE1287" w:rsidRDefault="00CE1287" w:rsidP="00A02BFB">
      <w:pPr>
        <w:spacing w:line="276" w:lineRule="auto"/>
        <w:rPr>
          <w:rFonts w:cstheme="minorHAnsi"/>
          <w:u w:val="single"/>
        </w:rPr>
      </w:pPr>
      <w:r w:rsidRPr="00CE1287">
        <w:rPr>
          <w:rFonts w:cstheme="minorHAnsi"/>
          <w:u w:val="single"/>
        </w:rPr>
        <w:t>Kryteria oceny uprawniającej do korzystania z usług w pierwszej kolejności</w:t>
      </w:r>
    </w:p>
    <w:p w:rsidR="00CE1287" w:rsidRPr="00CE1287" w:rsidRDefault="00CE1287" w:rsidP="00A02BFB">
      <w:pPr>
        <w:pStyle w:val="Akapitzlist"/>
        <w:numPr>
          <w:ilvl w:val="0"/>
          <w:numId w:val="3"/>
        </w:numPr>
        <w:spacing w:line="276"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rsidR="00CE1287" w:rsidRPr="00CE1287" w:rsidRDefault="00CE1287" w:rsidP="00A02BFB">
      <w:pPr>
        <w:pStyle w:val="Akapitzlist"/>
        <w:numPr>
          <w:ilvl w:val="0"/>
          <w:numId w:val="3"/>
        </w:numPr>
        <w:spacing w:line="276"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rsidR="00CE1287" w:rsidRPr="00CE1287" w:rsidRDefault="00CE1287" w:rsidP="00A02BFB">
      <w:pPr>
        <w:pStyle w:val="Akapitzlist"/>
        <w:numPr>
          <w:ilvl w:val="0"/>
          <w:numId w:val="3"/>
        </w:numPr>
        <w:spacing w:line="276"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rsidR="00CE1287" w:rsidRPr="00CE1287" w:rsidRDefault="00CE1287" w:rsidP="00A02BFB">
      <w:pPr>
        <w:pStyle w:val="Akapitzlist"/>
        <w:numPr>
          <w:ilvl w:val="0"/>
          <w:numId w:val="3"/>
        </w:numPr>
        <w:spacing w:line="276"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rsidR="00CE1287" w:rsidRPr="00CE1287" w:rsidRDefault="00CE1287" w:rsidP="00A02BFB">
      <w:pPr>
        <w:pStyle w:val="Akapitzlist"/>
        <w:numPr>
          <w:ilvl w:val="0"/>
          <w:numId w:val="3"/>
        </w:numPr>
        <w:spacing w:line="276"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rsidR="00CE1287" w:rsidRPr="00CE1287" w:rsidRDefault="00CE1287" w:rsidP="00A02BFB">
      <w:pPr>
        <w:pStyle w:val="Akapitzlist"/>
        <w:numPr>
          <w:ilvl w:val="0"/>
          <w:numId w:val="3"/>
        </w:numPr>
        <w:spacing w:line="276"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rsidR="00CE1287" w:rsidRPr="00CE1287" w:rsidRDefault="00CE1287" w:rsidP="00A02BFB">
      <w:pPr>
        <w:spacing w:line="276" w:lineRule="auto"/>
        <w:rPr>
          <w:rFonts w:cstheme="minorHAnsi"/>
        </w:rPr>
      </w:pPr>
      <w:r w:rsidRPr="00CE1287">
        <w:rPr>
          <w:rFonts w:cstheme="minorHAnsi"/>
          <w:u w:val="single"/>
        </w:rPr>
        <w:t>Przykład I</w:t>
      </w:r>
      <w:r w:rsidRPr="00CE1287">
        <w:rPr>
          <w:rFonts w:cstheme="minorHAnsi"/>
        </w:rPr>
        <w:t xml:space="preserve"> </w:t>
      </w:r>
    </w:p>
    <w:p w:rsidR="00CE1287" w:rsidRPr="00CE1287" w:rsidRDefault="00CE1287" w:rsidP="00A02BFB">
      <w:pPr>
        <w:spacing w:line="276" w:lineRule="auto"/>
        <w:rPr>
          <w:rFonts w:cstheme="minorHAnsi"/>
        </w:rPr>
      </w:pPr>
      <w:r w:rsidRPr="00CE1287">
        <w:rPr>
          <w:rFonts w:cstheme="minorHAnsi"/>
        </w:rPr>
        <w:t>Osoba z niepełnosprawnością sprzężoną: 05-R Upośledzenie narządu ruchu, 10-N Choroby neurologiczne, 01-U Upośledzenie umysłowe.</w:t>
      </w:r>
    </w:p>
    <w:p w:rsidR="00CE1287" w:rsidRPr="00CE1287" w:rsidRDefault="00CE1287" w:rsidP="00A02BFB">
      <w:pPr>
        <w:spacing w:line="276"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rsidR="00CE1287" w:rsidRPr="00CE1287" w:rsidRDefault="00CE1287" w:rsidP="00A02BFB">
      <w:pPr>
        <w:spacing w:line="276" w:lineRule="auto"/>
        <w:rPr>
          <w:rFonts w:cstheme="minorHAnsi"/>
          <w:u w:val="single"/>
        </w:rPr>
      </w:pPr>
      <w:r w:rsidRPr="00CE1287">
        <w:rPr>
          <w:rFonts w:cstheme="minorHAnsi"/>
          <w:u w:val="single"/>
        </w:rPr>
        <w:lastRenderedPageBreak/>
        <w:t xml:space="preserve">Przykład II </w:t>
      </w:r>
    </w:p>
    <w:p w:rsidR="00CE1287" w:rsidRPr="00CE1287" w:rsidRDefault="00CE1287" w:rsidP="00A02BFB">
      <w:pPr>
        <w:spacing w:line="276" w:lineRule="auto"/>
        <w:rPr>
          <w:rFonts w:cstheme="minorHAnsi"/>
        </w:rPr>
      </w:pPr>
      <w:r w:rsidRPr="00CE1287">
        <w:rPr>
          <w:rFonts w:cstheme="minorHAnsi"/>
        </w:rPr>
        <w:t>Osoba z niepełnosprawnością ruchową: 05-R Upośledzenie narządu ruchu, 10-N Choroby neurologiczne.</w:t>
      </w:r>
    </w:p>
    <w:p w:rsidR="00CE1287" w:rsidRPr="00CE1287" w:rsidRDefault="00CE1287" w:rsidP="00A02BFB">
      <w:pPr>
        <w:spacing w:line="276"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rsidR="00CE1287" w:rsidRPr="00CE1287" w:rsidRDefault="00CE1287" w:rsidP="00A02BFB">
      <w:pPr>
        <w:spacing w:line="276"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rsidR="00CE1287" w:rsidRPr="00CE1287" w:rsidRDefault="00CE1287" w:rsidP="00A02BFB">
      <w:pPr>
        <w:spacing w:line="276" w:lineRule="auto"/>
        <w:rPr>
          <w:rFonts w:cstheme="minorHAnsi"/>
        </w:rPr>
      </w:pPr>
      <w:r w:rsidRPr="00CE1287">
        <w:rPr>
          <w:rFonts w:cstheme="minorHAnsi"/>
        </w:rPr>
        <w:t>W przypadku funkcjonowania społecznego niższa ocena może dotyczyć „Kontaktów międzyludzkich”</w:t>
      </w:r>
    </w:p>
    <w:p w:rsidR="00CE1287" w:rsidRPr="00CE1287" w:rsidRDefault="00CE1287" w:rsidP="00A02BFB">
      <w:pPr>
        <w:spacing w:line="276" w:lineRule="auto"/>
        <w:rPr>
          <w:rFonts w:cstheme="minorHAnsi"/>
          <w:u w:val="single"/>
        </w:rPr>
      </w:pPr>
      <w:r w:rsidRPr="00CE1287">
        <w:rPr>
          <w:rFonts w:cstheme="minorHAnsi"/>
          <w:u w:val="single"/>
        </w:rPr>
        <w:t xml:space="preserve">Przykład III </w:t>
      </w:r>
    </w:p>
    <w:p w:rsidR="00CE1287" w:rsidRPr="00CE1287" w:rsidRDefault="00CE1287" w:rsidP="00A02BFB">
      <w:pPr>
        <w:spacing w:line="276" w:lineRule="auto"/>
        <w:rPr>
          <w:rFonts w:cstheme="minorHAnsi"/>
        </w:rPr>
      </w:pPr>
      <w:r w:rsidRPr="00CE1287">
        <w:rPr>
          <w:rFonts w:cstheme="minorHAnsi"/>
        </w:rPr>
        <w:t>Osoba z niepełnosprawnością intelektualną: 01-U Upośledzenie umysłowe.</w:t>
      </w:r>
    </w:p>
    <w:p w:rsidR="00CE1287" w:rsidRPr="00CE1287" w:rsidRDefault="00CE1287" w:rsidP="00A02BFB">
      <w:pPr>
        <w:spacing w:line="276"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rsidR="00CE1287" w:rsidRPr="00CE1287" w:rsidRDefault="00CE1287" w:rsidP="00A02BFB">
      <w:pPr>
        <w:spacing w:line="276" w:lineRule="auto"/>
        <w:rPr>
          <w:rFonts w:cstheme="minorHAnsi"/>
        </w:rPr>
      </w:pPr>
      <w:r w:rsidRPr="00CE1287">
        <w:rPr>
          <w:rFonts w:cstheme="minorHAnsi"/>
        </w:rPr>
        <w:t>W przypadku dbania o siebie można wyobrazić sobie niższą ocenę w zakresie „Dbałości o wygląd zewnętrzny” oraz „Toalecie”.</w:t>
      </w:r>
    </w:p>
    <w:p w:rsidR="00CE1287" w:rsidRDefault="00CE1287" w:rsidP="00A02BFB">
      <w:pPr>
        <w:spacing w:line="276"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rsidR="0013783D" w:rsidRPr="0013783D" w:rsidRDefault="0013783D" w:rsidP="00A02BFB">
      <w:pPr>
        <w:spacing w:line="276" w:lineRule="auto"/>
        <w:rPr>
          <w:rFonts w:cstheme="minorHAnsi"/>
          <w:sz w:val="4"/>
          <w:szCs w:val="4"/>
        </w:rPr>
      </w:pPr>
    </w:p>
    <w:p w:rsidR="00CE1287" w:rsidRPr="00CE1287" w:rsidRDefault="00CE1287" w:rsidP="00A02BFB">
      <w:pPr>
        <w:spacing w:line="276" w:lineRule="auto"/>
        <w:rPr>
          <w:rFonts w:cstheme="minorHAnsi"/>
          <w:u w:val="single"/>
        </w:rPr>
      </w:pPr>
      <w:r w:rsidRPr="00CE1287">
        <w:rPr>
          <w:rFonts w:cstheme="minorHAnsi"/>
          <w:u w:val="single"/>
        </w:rPr>
        <w:t>Łączna wartość oceny kwalifikującej do usług w pierwszej kolejności:</w:t>
      </w:r>
    </w:p>
    <w:p w:rsidR="00CE1287" w:rsidRPr="00CE1287" w:rsidRDefault="00CE1287" w:rsidP="00A02BFB">
      <w:pPr>
        <w:pStyle w:val="Akapitzlist"/>
        <w:numPr>
          <w:ilvl w:val="0"/>
          <w:numId w:val="4"/>
        </w:numPr>
        <w:spacing w:line="276"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rsidR="00CE1287" w:rsidRPr="00CE1287" w:rsidRDefault="00CE1287" w:rsidP="00A02BFB">
      <w:pPr>
        <w:pStyle w:val="Akapitzlist"/>
        <w:spacing w:line="276"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rsidR="00CE1287" w:rsidRPr="00CE1287" w:rsidRDefault="00CE1287" w:rsidP="00A02BFB">
      <w:pPr>
        <w:pStyle w:val="Akapitzlist"/>
        <w:numPr>
          <w:ilvl w:val="0"/>
          <w:numId w:val="4"/>
        </w:numPr>
        <w:spacing w:line="276"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Pr>
          <w:rFonts w:cstheme="minorHAnsi"/>
        </w:rPr>
        <w:t>.</w:t>
      </w:r>
    </w:p>
    <w:p w:rsidR="00CE1287" w:rsidRPr="00345B64" w:rsidRDefault="00CE1287" w:rsidP="00A02BFB">
      <w:pPr>
        <w:spacing w:line="276"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010" w:rsidRDefault="00415010" w:rsidP="009B46DC">
      <w:pPr>
        <w:spacing w:after="0" w:line="240" w:lineRule="auto"/>
      </w:pPr>
      <w:r>
        <w:separator/>
      </w:r>
    </w:p>
  </w:endnote>
  <w:endnote w:type="continuationSeparator" w:id="0">
    <w:p w:rsidR="00415010" w:rsidRDefault="00415010" w:rsidP="009B4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692208"/>
      <w:docPartObj>
        <w:docPartGallery w:val="Page Numbers (Bottom of Page)"/>
        <w:docPartUnique/>
      </w:docPartObj>
    </w:sdtPr>
    <w:sdtContent>
      <w:p w:rsidR="009B46DC" w:rsidRDefault="0044780A">
        <w:pPr>
          <w:pStyle w:val="Stopka"/>
          <w:jc w:val="right"/>
        </w:pPr>
        <w:r>
          <w:fldChar w:fldCharType="begin"/>
        </w:r>
        <w:r w:rsidR="009B46DC">
          <w:instrText>PAGE   \* MERGEFORMAT</w:instrText>
        </w:r>
        <w:r>
          <w:fldChar w:fldCharType="separate"/>
        </w:r>
        <w:r w:rsidR="0013783D">
          <w:rPr>
            <w:noProof/>
          </w:rPr>
          <w:t>6</w:t>
        </w:r>
        <w:r>
          <w:fldChar w:fldCharType="end"/>
        </w:r>
      </w:p>
    </w:sdtContent>
  </w:sdt>
  <w:p w:rsidR="009B46DC" w:rsidRDefault="009B46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010" w:rsidRDefault="00415010" w:rsidP="009B46DC">
      <w:pPr>
        <w:spacing w:after="0" w:line="240" w:lineRule="auto"/>
      </w:pPr>
      <w:r>
        <w:separator/>
      </w:r>
    </w:p>
  </w:footnote>
  <w:footnote w:type="continuationSeparator" w:id="0">
    <w:p w:rsidR="00415010" w:rsidRDefault="00415010" w:rsidP="009B4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7B4A4C"/>
    <w:rsid w:val="000B003B"/>
    <w:rsid w:val="000F5044"/>
    <w:rsid w:val="0013783D"/>
    <w:rsid w:val="0015316D"/>
    <w:rsid w:val="001A5EC4"/>
    <w:rsid w:val="00264F64"/>
    <w:rsid w:val="002B01A2"/>
    <w:rsid w:val="002D785E"/>
    <w:rsid w:val="00345B64"/>
    <w:rsid w:val="0038647E"/>
    <w:rsid w:val="003A6030"/>
    <w:rsid w:val="003B4B18"/>
    <w:rsid w:val="003F0251"/>
    <w:rsid w:val="00415010"/>
    <w:rsid w:val="0044780A"/>
    <w:rsid w:val="004C1111"/>
    <w:rsid w:val="00527DF3"/>
    <w:rsid w:val="00536363"/>
    <w:rsid w:val="005E75B8"/>
    <w:rsid w:val="005F5181"/>
    <w:rsid w:val="00655F09"/>
    <w:rsid w:val="00694123"/>
    <w:rsid w:val="006A539C"/>
    <w:rsid w:val="006D19D3"/>
    <w:rsid w:val="006F0F4D"/>
    <w:rsid w:val="00772B47"/>
    <w:rsid w:val="007B4A4C"/>
    <w:rsid w:val="007F0069"/>
    <w:rsid w:val="008019C9"/>
    <w:rsid w:val="008C6AEE"/>
    <w:rsid w:val="008F62B0"/>
    <w:rsid w:val="009553C5"/>
    <w:rsid w:val="0099334E"/>
    <w:rsid w:val="009A63DF"/>
    <w:rsid w:val="009B46DC"/>
    <w:rsid w:val="009B4D04"/>
    <w:rsid w:val="00A02BFB"/>
    <w:rsid w:val="00A43739"/>
    <w:rsid w:val="00AE1D62"/>
    <w:rsid w:val="00B9173C"/>
    <w:rsid w:val="00BE1CD5"/>
    <w:rsid w:val="00C35EA9"/>
    <w:rsid w:val="00C83266"/>
    <w:rsid w:val="00C83CDE"/>
    <w:rsid w:val="00C90260"/>
    <w:rsid w:val="00CA70A5"/>
    <w:rsid w:val="00CE1287"/>
    <w:rsid w:val="00CE559C"/>
    <w:rsid w:val="00D04313"/>
    <w:rsid w:val="00D1205C"/>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205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2318</Words>
  <Characters>13908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vt:lpstr>
    </vt:vector>
  </TitlesOfParts>
  <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creator>Weronika Olborska</dc:creator>
  <cp:lastModifiedBy>jadwiga.jurkitewicz</cp:lastModifiedBy>
  <cp:revision>3</cp:revision>
  <dcterms:created xsi:type="dcterms:W3CDTF">2022-10-31T12:06:00Z</dcterms:created>
  <dcterms:modified xsi:type="dcterms:W3CDTF">2022-11-29T13:24:00Z</dcterms:modified>
</cp:coreProperties>
</file>